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2" w:name="_Hlk38217196"/>
      <w:r>
        <w:rPr>
          <w:rFonts w:ascii="Arial" w:hAnsi="Arial" w:cs="Arial"/>
          <w:sz w:val="20"/>
          <w:szCs w:val="20"/>
        </w:rPr>
        <w:t>e operante nella sede di …………………………..</w:t>
      </w:r>
      <w:bookmarkEnd w:id="2"/>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0B6C8A95" w:rsidR="0081515F" w:rsidRDefault="0081515F" w:rsidP="00AD75E6">
            <w:pPr>
              <w:pStyle w:val="Didascalia"/>
              <w:jc w:val="both"/>
              <w:rPr>
                <w:rFonts w:ascii="Arial" w:hAnsi="Arial" w:cs="Arial"/>
                <w:b w:val="0"/>
                <w:sz w:val="18"/>
                <w:szCs w:val="18"/>
              </w:rPr>
            </w:pPr>
            <w:r w:rsidRPr="00716680">
              <w:rPr>
                <w:rFonts w:ascii="Arial" w:hAnsi="Arial" w:cs="Arial"/>
                <w:b w:val="0"/>
                <w:sz w:val="18"/>
                <w:szCs w:val="18"/>
              </w:rPr>
              <w:t xml:space="preserve">       *N.b. Il totale delle fonti deve essere pari al totale del programma di investimento</w:t>
            </w:r>
          </w:p>
          <w:p w14:paraId="713E8083" w14:textId="37CEC857" w:rsidR="00D60EE9" w:rsidRPr="00686B2B" w:rsidRDefault="00D60EE9" w:rsidP="00D60EE9">
            <w:pPr>
              <w:pStyle w:val="CM2"/>
              <w:spacing w:before="80" w:line="360" w:lineRule="auto"/>
              <w:jc w:val="right"/>
              <w:rPr>
                <w:rFonts w:ascii="Arial" w:hAnsi="Arial" w:cs="Arial"/>
                <w:b/>
                <w:sz w:val="20"/>
                <w:szCs w:val="20"/>
                <w:u w:val="single"/>
              </w:rPr>
            </w:pPr>
            <w:r w:rsidRPr="00686B2B">
              <w:rPr>
                <w:rFonts w:ascii="Arial" w:hAnsi="Arial" w:cs="Arial"/>
                <w:b/>
                <w:sz w:val="20"/>
                <w:szCs w:val="20"/>
                <w:u w:val="single"/>
              </w:rPr>
              <w:lastRenderedPageBreak/>
              <w:t>scheda 1 (4/7)</w:t>
            </w:r>
          </w:p>
          <w:p w14:paraId="5E0D1B4B" w14:textId="28A6DA81" w:rsidR="001C72E6" w:rsidRPr="00686B2B" w:rsidRDefault="00D60EE9" w:rsidP="001C72E6">
            <w:pPr>
              <w:pStyle w:val="CM2"/>
              <w:numPr>
                <w:ilvl w:val="0"/>
                <w:numId w:val="12"/>
              </w:numPr>
              <w:spacing w:line="360" w:lineRule="auto"/>
              <w:rPr>
                <w:rFonts w:ascii="Arial" w:hAnsi="Arial" w:cs="Arial"/>
                <w:sz w:val="20"/>
                <w:szCs w:val="20"/>
              </w:rPr>
            </w:pPr>
            <w:r w:rsidRPr="00686B2B">
              <w:rPr>
                <w:rFonts w:ascii="Arial" w:hAnsi="Arial" w:cs="Arial"/>
                <w:sz w:val="20"/>
                <w:szCs w:val="20"/>
              </w:rPr>
              <w:t>ai fini dell’ammissibilità alla sezione Turismo (vedi scheda Sezione turismo), l’investimento è finalizzato ad interventi di riqualificazione energetica</w:t>
            </w:r>
            <w:r w:rsidRPr="00686B2B">
              <w:rPr>
                <w:rStyle w:val="Rimandonotaapidipagina"/>
                <w:rFonts w:ascii="Arial" w:hAnsi="Arial" w:cs="Arial"/>
                <w:sz w:val="20"/>
                <w:szCs w:val="20"/>
              </w:rPr>
              <w:footnoteReference w:id="2"/>
            </w:r>
            <w:r w:rsidRPr="00686B2B">
              <w:rPr>
                <w:rFonts w:ascii="Arial" w:hAnsi="Arial" w:cs="Arial"/>
                <w:sz w:val="20"/>
                <w:szCs w:val="20"/>
              </w:rPr>
              <w:t xml:space="preserve">         </w:t>
            </w:r>
            <w:r w:rsidRPr="00686B2B">
              <w:rPr>
                <w:rFonts w:ascii="Arial" w:hAnsi="Arial" w:cs="Arial"/>
                <w:noProof/>
                <w:sz w:val="20"/>
                <w:szCs w:val="20"/>
              </w:rPr>
              <w:drawing>
                <wp:inline distT="0" distB="0" distL="0" distR="0" wp14:anchorId="6CC50FE1" wp14:editId="5EFF2877">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 xml:space="preserve"> SI        </w:t>
            </w:r>
            <w:r w:rsidRPr="00686B2B">
              <w:rPr>
                <w:rFonts w:ascii="Arial" w:hAnsi="Arial" w:cs="Arial"/>
                <w:noProof/>
                <w:sz w:val="20"/>
                <w:szCs w:val="20"/>
              </w:rPr>
              <w:drawing>
                <wp:inline distT="0" distB="0" distL="0" distR="0" wp14:anchorId="7DC055A3" wp14:editId="56A24A72">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NO</w:t>
            </w:r>
          </w:p>
          <w:p w14:paraId="49284EC9" w14:textId="3C9CDE27" w:rsidR="0081515F" w:rsidRPr="006E06AE" w:rsidRDefault="00333512" w:rsidP="00D60EE9">
            <w:pPr>
              <w:pStyle w:val="CM2"/>
              <w:numPr>
                <w:ilvl w:val="0"/>
                <w:numId w:val="12"/>
              </w:numPr>
              <w:spacing w:line="360" w:lineRule="auto"/>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Crisis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2B5AFDF2"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1592AB46" w14:textId="77777777" w:rsidR="005477CC" w:rsidRPr="005477CC" w:rsidRDefault="005477CC" w:rsidP="005477CC">
            <w:pPr>
              <w:pStyle w:val="Default"/>
            </w:pP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5941BB75" w14:textId="77777777" w:rsidR="005477CC" w:rsidRPr="00E4572E" w:rsidRDefault="005477CC" w:rsidP="005477CC">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t>scheda 1 (5/7)</w:t>
            </w:r>
          </w:p>
          <w:p w14:paraId="0003790A" w14:textId="36C162DD" w:rsidR="00DF587F" w:rsidRDefault="003D442A" w:rsidP="00CF2842">
            <w:pPr>
              <w:pStyle w:val="CM2"/>
              <w:numPr>
                <w:ilvl w:val="1"/>
                <w:numId w:val="1"/>
              </w:numPr>
              <w:tabs>
                <w:tab w:val="clear" w:pos="1440"/>
              </w:tabs>
              <w:spacing w:after="240" w:line="360" w:lineRule="auto"/>
              <w:ind w:left="746" w:hanging="425"/>
              <w:jc w:val="both"/>
            </w:pPr>
            <w:r w:rsidRPr="00EC47E6">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EC47E6" w:rsidRPr="00EC47E6">
              <w:rPr>
                <w:rFonts w:ascii="Arial" w:hAnsi="Arial" w:cs="Arial"/>
                <w:sz w:val="20"/>
                <w:szCs w:val="20"/>
              </w:rPr>
              <w:t>.</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5"/>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73A69505" w14:textId="55165F16" w:rsidR="005477CC" w:rsidRPr="005477CC" w:rsidRDefault="005477CC" w:rsidP="005477CC">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t>scheda 1 (6/7)</w:t>
            </w:r>
          </w:p>
          <w:p w14:paraId="251B12BD" w14:textId="58453F9F"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389256DF" w14:textId="5760927E" w:rsidR="00DF587F" w:rsidRPr="005477CC" w:rsidRDefault="0050347D" w:rsidP="00DF587F">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F94B61" w14:textId="4886E2A6" w:rsidR="0050347D" w:rsidRPr="00E4572E" w:rsidRDefault="0050347D" w:rsidP="00DC2632">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r w:rsidR="00DC2632">
              <w:rPr>
                <w:bCs/>
                <w:iCs/>
              </w:rPr>
              <w:t xml:space="preserve"> </w:t>
            </w:r>
            <w:r w:rsidRPr="00DC2632">
              <w:rPr>
                <w:rFonts w:ascii="Arial" w:hAnsi="Arial" w:cs="Arial"/>
                <w:i/>
                <w:sz w:val="19"/>
                <w:szCs w:val="19"/>
              </w:rPr>
              <w:t xml:space="preserve"> SI   </w:t>
            </w:r>
            <w:r w:rsidRPr="00DC2632">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77777777" w:rsidR="0050347D" w:rsidRPr="00D63EE2"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7F66AA1" w14:textId="77777777" w:rsidR="0081515F" w:rsidRDefault="0081515F" w:rsidP="00AD75E6">
            <w:pPr>
              <w:pStyle w:val="Default"/>
              <w:spacing w:after="200" w:line="276" w:lineRule="auto"/>
            </w:pPr>
          </w:p>
          <w:p w14:paraId="1CAC3726" w14:textId="77777777" w:rsidR="00D30206" w:rsidRDefault="00D30206" w:rsidP="00AD75E6">
            <w:pPr>
              <w:pStyle w:val="Default"/>
              <w:spacing w:after="200" w:line="276" w:lineRule="auto"/>
            </w:pPr>
          </w:p>
          <w:p w14:paraId="5E3FE8B0" w14:textId="77777777" w:rsidR="00D30206" w:rsidRDefault="00D30206" w:rsidP="00AD75E6">
            <w:pPr>
              <w:pStyle w:val="Default"/>
              <w:spacing w:after="200" w:line="276" w:lineRule="auto"/>
            </w:pPr>
          </w:p>
          <w:p w14:paraId="11D9BB05" w14:textId="77777777" w:rsidR="00D30206" w:rsidRDefault="00D30206" w:rsidP="00AD75E6">
            <w:pPr>
              <w:pStyle w:val="Default"/>
              <w:spacing w:after="200" w:line="276" w:lineRule="auto"/>
            </w:pPr>
          </w:p>
          <w:p w14:paraId="467A43EE" w14:textId="77777777" w:rsidR="00D30206" w:rsidRDefault="00D30206" w:rsidP="00AD75E6">
            <w:pPr>
              <w:pStyle w:val="Default"/>
              <w:spacing w:after="200" w:line="276" w:lineRule="auto"/>
            </w:pPr>
          </w:p>
          <w:p w14:paraId="5B8CEBC8" w14:textId="77777777" w:rsidR="00D30206" w:rsidRPr="003D4049" w:rsidRDefault="00D30206" w:rsidP="00D30206">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483E4E31" w14:textId="77777777" w:rsidR="00D30206" w:rsidRPr="003D4049" w:rsidRDefault="00D30206" w:rsidP="00D30206">
            <w:pPr>
              <w:pStyle w:val="CM8"/>
              <w:spacing w:before="120" w:after="0" w:line="360" w:lineRule="auto"/>
              <w:jc w:val="right"/>
              <w:rPr>
                <w:rFonts w:ascii="Arial" w:hAnsi="Arial" w:cs="Arial"/>
                <w:b/>
                <w:sz w:val="20"/>
                <w:szCs w:val="20"/>
                <w:u w:val="single"/>
              </w:rPr>
            </w:pPr>
          </w:p>
          <w:p w14:paraId="194A9548" w14:textId="77777777" w:rsidR="00D30206" w:rsidRPr="003D4049" w:rsidRDefault="00D30206" w:rsidP="00D30206">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5D4D98B6" w14:textId="77777777" w:rsidR="00D30206" w:rsidRPr="003D4049" w:rsidRDefault="00D30206" w:rsidP="00D30206">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4E868BE" w14:textId="77777777" w:rsidR="00D30206" w:rsidRPr="003D4049" w:rsidRDefault="00D30206" w:rsidP="00D30206">
            <w:pPr>
              <w:pStyle w:val="Default"/>
              <w:spacing w:before="120" w:line="360" w:lineRule="auto"/>
              <w:jc w:val="center"/>
              <w:rPr>
                <w:rFonts w:ascii="Arial" w:hAnsi="Arial" w:cs="Arial"/>
                <w:color w:val="auto"/>
                <w:sz w:val="20"/>
                <w:szCs w:val="20"/>
              </w:rPr>
            </w:pPr>
          </w:p>
          <w:p w14:paraId="630706B4"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1F9924B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512388CE"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5B44235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07 estrazione di minerali metalliferi, 08.9 estrazione di minerali e prodotti di cava n.c.a (e in generale tutta la sezione b – attività estrattiva);</w:t>
            </w:r>
          </w:p>
          <w:p w14:paraId="600DD9DD"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0E6BD1C6"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95B4E47"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1ED6E039"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3464A9CC"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14D2CEB4" w14:textId="77777777" w:rsidR="00D30206"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76508FD3" w14:textId="77777777" w:rsidR="00D30206" w:rsidRPr="003D4049" w:rsidRDefault="00D30206" w:rsidP="00D30206">
            <w:pPr>
              <w:numPr>
                <w:ilvl w:val="1"/>
                <w:numId w:val="34"/>
              </w:numPr>
              <w:spacing w:after="0" w:line="360" w:lineRule="auto"/>
              <w:jc w:val="both"/>
              <w:rPr>
                <w:rFonts w:ascii="Arial" w:hAnsi="Arial" w:cs="Arial"/>
                <w:sz w:val="20"/>
                <w:szCs w:val="20"/>
              </w:rPr>
            </w:pPr>
          </w:p>
          <w:p w14:paraId="0BAA99F3"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2AE0C257" w14:textId="77777777" w:rsidR="00D30206" w:rsidRPr="003D4049" w:rsidRDefault="00D30206" w:rsidP="00D30206">
            <w:pPr>
              <w:pStyle w:val="Paragrafoelenco"/>
              <w:rPr>
                <w:rFonts w:ascii="Arial" w:hAnsi="Arial" w:cs="Arial"/>
                <w:sz w:val="20"/>
                <w:szCs w:val="20"/>
                <w:lang w:val="it-IT" w:eastAsia="it-IT"/>
              </w:rPr>
            </w:pPr>
          </w:p>
          <w:p w14:paraId="0B8C4CE4" w14:textId="77777777" w:rsidR="00D30206" w:rsidRPr="003D4049" w:rsidRDefault="00D30206" w:rsidP="00D30206">
            <w:pPr>
              <w:pStyle w:val="Paragrafoelenco"/>
              <w:numPr>
                <w:ilvl w:val="0"/>
                <w:numId w:val="33"/>
              </w:numPr>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206E6CAB" w14:textId="77777777" w:rsidR="00D30206" w:rsidRDefault="00D30206" w:rsidP="00D30206">
            <w:pPr>
              <w:pStyle w:val="CM8"/>
              <w:spacing w:before="120" w:after="0" w:line="360" w:lineRule="auto"/>
              <w:jc w:val="right"/>
              <w:rPr>
                <w:rFonts w:ascii="Arial" w:hAnsi="Arial" w:cs="Arial"/>
                <w:b/>
                <w:sz w:val="20"/>
                <w:szCs w:val="20"/>
                <w:u w:val="single"/>
              </w:rPr>
            </w:pPr>
          </w:p>
          <w:p w14:paraId="474BAB8C" w14:textId="77777777" w:rsidR="00D30206" w:rsidRDefault="00D30206" w:rsidP="00D30206">
            <w:pPr>
              <w:pStyle w:val="CM8"/>
              <w:spacing w:before="120" w:after="0" w:line="360" w:lineRule="auto"/>
              <w:jc w:val="right"/>
              <w:rPr>
                <w:rFonts w:ascii="Arial" w:hAnsi="Arial" w:cs="Arial"/>
                <w:b/>
                <w:sz w:val="20"/>
                <w:szCs w:val="20"/>
                <w:u w:val="single"/>
              </w:rPr>
            </w:pPr>
          </w:p>
          <w:p w14:paraId="3D00E204" w14:textId="77777777" w:rsidR="00D30206" w:rsidRDefault="00D30206" w:rsidP="00D30206">
            <w:pPr>
              <w:pStyle w:val="CM8"/>
              <w:spacing w:before="120" w:after="0" w:line="360" w:lineRule="auto"/>
              <w:jc w:val="right"/>
              <w:rPr>
                <w:rFonts w:ascii="Arial" w:hAnsi="Arial" w:cs="Arial"/>
                <w:b/>
                <w:sz w:val="20"/>
                <w:szCs w:val="20"/>
                <w:u w:val="single"/>
              </w:rPr>
            </w:pPr>
          </w:p>
          <w:p w14:paraId="65EB8A38" w14:textId="77777777" w:rsidR="00D30206" w:rsidRDefault="00D30206" w:rsidP="00D30206">
            <w:pPr>
              <w:pStyle w:val="CM8"/>
              <w:spacing w:before="120" w:after="0" w:line="360" w:lineRule="auto"/>
              <w:jc w:val="right"/>
              <w:rPr>
                <w:rFonts w:ascii="Arial" w:hAnsi="Arial" w:cs="Arial"/>
                <w:b/>
                <w:sz w:val="20"/>
                <w:szCs w:val="20"/>
                <w:u w:val="single"/>
              </w:rPr>
            </w:pPr>
          </w:p>
          <w:p w14:paraId="18226D39" w14:textId="77777777" w:rsidR="00D30206" w:rsidRDefault="00D30206" w:rsidP="00D30206">
            <w:pPr>
              <w:pStyle w:val="CM8"/>
              <w:spacing w:before="120" w:after="0" w:line="360" w:lineRule="auto"/>
              <w:jc w:val="right"/>
              <w:rPr>
                <w:rFonts w:ascii="Arial" w:hAnsi="Arial" w:cs="Arial"/>
                <w:b/>
                <w:sz w:val="20"/>
                <w:szCs w:val="20"/>
                <w:u w:val="single"/>
              </w:rPr>
            </w:pPr>
          </w:p>
          <w:p w14:paraId="7BC4E63D" w14:textId="77777777" w:rsidR="00D30206" w:rsidRDefault="00D30206" w:rsidP="00D30206">
            <w:pPr>
              <w:pStyle w:val="CM8"/>
              <w:spacing w:before="120" w:after="0" w:line="360" w:lineRule="auto"/>
              <w:jc w:val="right"/>
              <w:rPr>
                <w:rFonts w:ascii="Arial" w:hAnsi="Arial" w:cs="Arial"/>
                <w:b/>
                <w:sz w:val="20"/>
                <w:szCs w:val="20"/>
                <w:u w:val="single"/>
              </w:rPr>
            </w:pPr>
          </w:p>
          <w:p w14:paraId="4BC1BDC0" w14:textId="77777777" w:rsidR="00D30206" w:rsidRDefault="00D30206" w:rsidP="00D30206">
            <w:pPr>
              <w:pStyle w:val="CM8"/>
              <w:spacing w:before="120" w:after="0" w:line="360" w:lineRule="auto"/>
              <w:jc w:val="right"/>
              <w:rPr>
                <w:rFonts w:ascii="Arial" w:hAnsi="Arial" w:cs="Arial"/>
                <w:b/>
                <w:sz w:val="20"/>
                <w:szCs w:val="20"/>
                <w:u w:val="single"/>
              </w:rPr>
            </w:pPr>
          </w:p>
          <w:p w14:paraId="629957DF" w14:textId="77777777" w:rsidR="00D30206" w:rsidRDefault="00D30206" w:rsidP="00D30206">
            <w:pPr>
              <w:pStyle w:val="CM8"/>
              <w:spacing w:before="120" w:after="0" w:line="360" w:lineRule="auto"/>
              <w:jc w:val="right"/>
              <w:rPr>
                <w:rFonts w:ascii="Arial" w:hAnsi="Arial" w:cs="Arial"/>
                <w:b/>
                <w:sz w:val="20"/>
                <w:szCs w:val="20"/>
                <w:u w:val="single"/>
              </w:rPr>
            </w:pPr>
          </w:p>
          <w:p w14:paraId="2FCD0025" w14:textId="77777777" w:rsidR="00D30206" w:rsidRPr="00D63EE2" w:rsidRDefault="00D30206" w:rsidP="00D3020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6C1EE7F" wp14:editId="08E7871C">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668B6820" w14:textId="77777777" w:rsidR="00D30206" w:rsidRDefault="00D30206" w:rsidP="00D30206">
            <w:pPr>
              <w:pStyle w:val="CM8"/>
              <w:spacing w:before="120" w:after="0" w:line="360" w:lineRule="auto"/>
              <w:jc w:val="right"/>
              <w:rPr>
                <w:rFonts w:ascii="Arial" w:hAnsi="Arial" w:cs="Arial"/>
                <w:b/>
                <w:sz w:val="20"/>
                <w:szCs w:val="20"/>
                <w:u w:val="single"/>
              </w:rPr>
            </w:pPr>
          </w:p>
          <w:p w14:paraId="0D2687EB" w14:textId="77777777" w:rsidR="00D30206" w:rsidRDefault="00D30206" w:rsidP="00D30206">
            <w:pPr>
              <w:pStyle w:val="CM8"/>
              <w:spacing w:before="120" w:after="0" w:line="360" w:lineRule="auto"/>
              <w:jc w:val="right"/>
              <w:rPr>
                <w:rFonts w:ascii="Arial" w:hAnsi="Arial" w:cs="Arial"/>
                <w:b/>
                <w:sz w:val="20"/>
                <w:szCs w:val="20"/>
                <w:u w:val="single"/>
              </w:rPr>
            </w:pPr>
          </w:p>
          <w:p w14:paraId="1A38F241" w14:textId="77777777" w:rsidR="00D30206" w:rsidRDefault="00D30206" w:rsidP="00D30206">
            <w:pPr>
              <w:pStyle w:val="CM8"/>
              <w:spacing w:before="120" w:after="0" w:line="360" w:lineRule="auto"/>
              <w:jc w:val="right"/>
              <w:rPr>
                <w:rFonts w:ascii="Arial" w:hAnsi="Arial" w:cs="Arial"/>
                <w:b/>
                <w:sz w:val="20"/>
                <w:szCs w:val="20"/>
                <w:u w:val="single"/>
              </w:rPr>
            </w:pPr>
          </w:p>
          <w:p w14:paraId="15B25DB7" w14:textId="77777777" w:rsidR="00D30206" w:rsidRDefault="00D30206" w:rsidP="00D30206">
            <w:pPr>
              <w:pStyle w:val="CM8"/>
              <w:spacing w:before="120" w:after="0" w:line="360" w:lineRule="auto"/>
              <w:jc w:val="right"/>
              <w:rPr>
                <w:rFonts w:ascii="Arial" w:hAnsi="Arial" w:cs="Arial"/>
                <w:b/>
                <w:sz w:val="20"/>
                <w:szCs w:val="20"/>
                <w:u w:val="single"/>
              </w:rPr>
            </w:pPr>
          </w:p>
          <w:p w14:paraId="6C9DB564" w14:textId="686A0622" w:rsidR="00D30206" w:rsidRPr="006E06AE" w:rsidRDefault="00D30206"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8"/>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9"/>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D30206">
          <w:headerReference w:type="default" r:id="rId19"/>
          <w:pgSz w:w="11900" w:h="16840" w:code="9"/>
          <w:pgMar w:top="142"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1"/>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2"/>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3"/>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3" w:name="_Hlk24118635"/>
            <w:bookmarkStart w:id="4" w:name="_Hlk514515068"/>
            <w:r w:rsidRPr="00DD008A">
              <w:rPr>
                <w:rFonts w:ascii="Arial" w:hAnsi="Arial" w:cs="Arial"/>
                <w:b/>
                <w:sz w:val="16"/>
                <w:szCs w:val="16"/>
              </w:rPr>
              <w:t>Identità e dati di contatto del titolare e del Responsabile della protezione dei dati personali</w:t>
            </w:r>
          </w:p>
          <w:bookmarkEnd w:id="3"/>
          <w:bookmarkEnd w:id="4"/>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5"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5"/>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6" w:name="_Hlk514515120"/>
            <w:r w:rsidRPr="00DD008A">
              <w:rPr>
                <w:rFonts w:ascii="Arial" w:hAnsi="Arial" w:cs="Arial"/>
                <w:color w:val="000000"/>
                <w:sz w:val="16"/>
                <w:szCs w:val="16"/>
              </w:rPr>
              <w:t>.</w:t>
            </w:r>
            <w:bookmarkEnd w:id="6"/>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7"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8" w:name="_Hlk24117911"/>
            <w:bookmarkEnd w:id="7"/>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E535" w14:textId="77777777" w:rsidR="00EB2B7F" w:rsidRDefault="00EB2B7F" w:rsidP="0081515F">
      <w:pPr>
        <w:spacing w:after="0" w:line="240" w:lineRule="auto"/>
      </w:pPr>
      <w:r>
        <w:separator/>
      </w:r>
    </w:p>
  </w:endnote>
  <w:endnote w:type="continuationSeparator" w:id="0">
    <w:p w14:paraId="671878EB" w14:textId="77777777" w:rsidR="00EB2B7F" w:rsidRDefault="00EB2B7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47FE" w14:textId="77777777" w:rsidR="00EB2B7F" w:rsidRDefault="00EB2B7F" w:rsidP="0081515F">
      <w:pPr>
        <w:spacing w:after="0" w:line="240" w:lineRule="auto"/>
      </w:pPr>
      <w:r>
        <w:separator/>
      </w:r>
    </w:p>
  </w:footnote>
  <w:footnote w:type="continuationSeparator" w:id="0">
    <w:p w14:paraId="79714783" w14:textId="77777777" w:rsidR="00EB2B7F" w:rsidRDefault="00EB2B7F"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2B0ED78C" w14:textId="249275D9" w:rsidR="00D60EE9" w:rsidRDefault="00D60EE9" w:rsidP="00751195">
      <w:pPr>
        <w:pStyle w:val="Testonotaapidipagina"/>
        <w:jc w:val="both"/>
      </w:pPr>
      <w:r w:rsidRPr="00686B2B">
        <w:rPr>
          <w:rStyle w:val="Rimandonotaapidipagina"/>
        </w:rPr>
        <w:footnoteRef/>
      </w:r>
      <w:r w:rsidRPr="00686B2B">
        <w:t xml:space="preserve"> Per gli investimenti in riqualificazione energetica</w:t>
      </w:r>
      <w:r w:rsidR="00751195">
        <w:t xml:space="preserve"> a valere sulla sezione speciale turismo</w:t>
      </w:r>
      <w:r w:rsidRPr="00686B2B">
        <w:t>, il soggetto beneficiario, in fase di eventuali controlli documentali, dovrà trasmettere al Gestore del Fondo, unitamente alla documentazione prevista dalle Disposizione operative, copia dell’Attestazione di prestazione energetica (APE)</w:t>
      </w:r>
      <w:r w:rsidR="00686B2B">
        <w:t xml:space="preserve">, ex ante ed ex post, </w:t>
      </w:r>
      <w:r w:rsidRPr="00686B2B">
        <w:t>rilasciata da soggetto abilitato o sistemi di rendicontazione da remoto.</w:t>
      </w:r>
    </w:p>
  </w:footnote>
  <w:footnote w:id="3">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4">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5">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6">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8">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9">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0">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1">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2">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3">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65596">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65596">
      <w:rPr>
        <w:rFonts w:ascii="Arial" w:hAnsi="Arial" w:cs="Arial"/>
        <w:noProof/>
        <w:sz w:val="20"/>
        <w:szCs w:val="20"/>
      </w:rPr>
      <w:t>4</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473C0"/>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1"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91D03"/>
    <w:multiLevelType w:val="hybridMultilevel"/>
    <w:tmpl w:val="3D5EBC6E"/>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8"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2"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3"/>
  </w:num>
  <w:num w:numId="3">
    <w:abstractNumId w:val="25"/>
  </w:num>
  <w:num w:numId="4">
    <w:abstractNumId w:val="30"/>
  </w:num>
  <w:num w:numId="5">
    <w:abstractNumId w:val="15"/>
  </w:num>
  <w:num w:numId="6">
    <w:abstractNumId w:val="26"/>
  </w:num>
  <w:num w:numId="7">
    <w:abstractNumId w:val="11"/>
  </w:num>
  <w:num w:numId="8">
    <w:abstractNumId w:val="29"/>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18"/>
  </w:num>
  <w:num w:numId="14">
    <w:abstractNumId w:val="1"/>
  </w:num>
  <w:num w:numId="15">
    <w:abstractNumId w:val="8"/>
  </w:num>
  <w:num w:numId="16">
    <w:abstractNumId w:val="1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lvlOverride w:ilvl="0">
      <w:startOverride w:val="1"/>
    </w:lvlOverride>
  </w:num>
  <w:num w:numId="21">
    <w:abstractNumId w:val="19"/>
  </w:num>
  <w:num w:numId="22">
    <w:abstractNumId w:val="9"/>
  </w:num>
  <w:num w:numId="23">
    <w:abstractNumId w:val="27"/>
  </w:num>
  <w:num w:numId="24">
    <w:abstractNumId w:val="2"/>
  </w:num>
  <w:num w:numId="25">
    <w:abstractNumId w:val="6"/>
  </w:num>
  <w:num w:numId="26">
    <w:abstractNumId w:val="24"/>
  </w:num>
  <w:num w:numId="27">
    <w:abstractNumId w:val="22"/>
  </w:num>
  <w:num w:numId="28">
    <w:abstractNumId w:val="31"/>
  </w:num>
  <w:num w:numId="29">
    <w:abstractNumId w:val="14"/>
  </w:num>
  <w:num w:numId="30">
    <w:abstractNumId w:val="5"/>
  </w:num>
  <w:num w:numId="31">
    <w:abstractNumId w:val="3"/>
  </w:num>
  <w:num w:numId="32">
    <w:abstractNumId w:val="12"/>
  </w:num>
  <w:num w:numId="33">
    <w:abstractNumId w:val="28"/>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73E9B"/>
    <w:rsid w:val="0018270F"/>
    <w:rsid w:val="00186F20"/>
    <w:rsid w:val="001918B7"/>
    <w:rsid w:val="001A144C"/>
    <w:rsid w:val="001A5F94"/>
    <w:rsid w:val="001A6D54"/>
    <w:rsid w:val="001B0199"/>
    <w:rsid w:val="001B14D6"/>
    <w:rsid w:val="001C1D48"/>
    <w:rsid w:val="001C28A9"/>
    <w:rsid w:val="001C72E6"/>
    <w:rsid w:val="001D5382"/>
    <w:rsid w:val="001F0974"/>
    <w:rsid w:val="00201197"/>
    <w:rsid w:val="0020382F"/>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15423"/>
    <w:rsid w:val="004171E0"/>
    <w:rsid w:val="0044248E"/>
    <w:rsid w:val="004573D7"/>
    <w:rsid w:val="00475628"/>
    <w:rsid w:val="004B4318"/>
    <w:rsid w:val="004B5364"/>
    <w:rsid w:val="004B7A9D"/>
    <w:rsid w:val="004D6113"/>
    <w:rsid w:val="0050347D"/>
    <w:rsid w:val="00512DC6"/>
    <w:rsid w:val="00521B3B"/>
    <w:rsid w:val="00527030"/>
    <w:rsid w:val="00543DF1"/>
    <w:rsid w:val="005477CC"/>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6B2B"/>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1195"/>
    <w:rsid w:val="00752928"/>
    <w:rsid w:val="0079009E"/>
    <w:rsid w:val="00794BE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597D"/>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93A25"/>
    <w:rsid w:val="00AA2294"/>
    <w:rsid w:val="00AA2E3C"/>
    <w:rsid w:val="00AC0516"/>
    <w:rsid w:val="00AC2E2E"/>
    <w:rsid w:val="00AD75E6"/>
    <w:rsid w:val="00AF329B"/>
    <w:rsid w:val="00B051FB"/>
    <w:rsid w:val="00B05A3A"/>
    <w:rsid w:val="00B16B1B"/>
    <w:rsid w:val="00B21F9F"/>
    <w:rsid w:val="00B479F5"/>
    <w:rsid w:val="00B55F1C"/>
    <w:rsid w:val="00B66720"/>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65596"/>
    <w:rsid w:val="00C80EEE"/>
    <w:rsid w:val="00CA2579"/>
    <w:rsid w:val="00CA7AC2"/>
    <w:rsid w:val="00CD292B"/>
    <w:rsid w:val="00CF66B3"/>
    <w:rsid w:val="00D1185C"/>
    <w:rsid w:val="00D14DD5"/>
    <w:rsid w:val="00D20474"/>
    <w:rsid w:val="00D30206"/>
    <w:rsid w:val="00D31B45"/>
    <w:rsid w:val="00D31CFC"/>
    <w:rsid w:val="00D422DA"/>
    <w:rsid w:val="00D45AD5"/>
    <w:rsid w:val="00D50BC2"/>
    <w:rsid w:val="00D60EE9"/>
    <w:rsid w:val="00D77EF5"/>
    <w:rsid w:val="00D821EA"/>
    <w:rsid w:val="00D938B2"/>
    <w:rsid w:val="00DA4EE5"/>
    <w:rsid w:val="00DB6859"/>
    <w:rsid w:val="00DC0D52"/>
    <w:rsid w:val="00DC1B11"/>
    <w:rsid w:val="00DC2632"/>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B2B7F"/>
    <w:rsid w:val="00EC47E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B4EA-B8DD-4842-8D0C-4CB70B5D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6901</Words>
  <Characters>39342</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Federico Rotter Berton</cp:lastModifiedBy>
  <cp:revision>2</cp:revision>
  <cp:lastPrinted>2019-03-22T11:54:00Z</cp:lastPrinted>
  <dcterms:created xsi:type="dcterms:W3CDTF">2022-11-11T16:36:00Z</dcterms:created>
  <dcterms:modified xsi:type="dcterms:W3CDTF">2022-11-11T16:36:00Z</dcterms:modified>
</cp:coreProperties>
</file>